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90"/>
          <w:tab w:val="left" w:pos="2100"/>
          <w:tab w:val="left" w:pos="7140"/>
          <w:tab w:val="left" w:pos="7350"/>
          <w:tab w:val="left" w:pos="7560"/>
        </w:tabs>
        <w:jc w:val="center"/>
        <w:rPr>
          <w:rFonts w:hint="eastAsia" w:ascii="黑体" w:hAnsi="黑体" w:eastAsia="黑体"/>
          <w:b/>
          <w:sz w:val="36"/>
          <w:szCs w:val="36"/>
        </w:rPr>
      </w:pPr>
      <w:r>
        <w:rPr>
          <w:rFonts w:hint="eastAsia" w:ascii="黑体" w:hAnsi="黑体" w:eastAsia="黑体"/>
          <w:b/>
          <w:sz w:val="36"/>
          <w:szCs w:val="36"/>
        </w:rPr>
        <w:t>泰山学院</w:t>
      </w:r>
    </w:p>
    <w:p>
      <w:pPr>
        <w:tabs>
          <w:tab w:val="left" w:pos="1890"/>
          <w:tab w:val="left" w:pos="2100"/>
          <w:tab w:val="left" w:pos="7140"/>
          <w:tab w:val="left" w:pos="7350"/>
          <w:tab w:val="left" w:pos="7560"/>
        </w:tabs>
        <w:jc w:val="center"/>
        <w:rPr>
          <w:rFonts w:hint="eastAsia" w:ascii="黑体" w:hAnsi="黑体" w:eastAsia="黑体"/>
          <w:b/>
          <w:sz w:val="32"/>
          <w:szCs w:val="32"/>
        </w:rPr>
      </w:pPr>
      <w:r>
        <w:rPr>
          <w:rFonts w:hint="eastAsia" w:ascii="黑体" w:hAnsi="黑体" w:eastAsia="黑体"/>
          <w:b/>
          <w:sz w:val="32"/>
          <w:szCs w:val="32"/>
        </w:rPr>
        <w:t>历史与社会发展学院假期读书报告</w:t>
      </w:r>
    </w:p>
    <w:p>
      <w:pPr>
        <w:tabs>
          <w:tab w:val="left" w:pos="1890"/>
          <w:tab w:val="left" w:pos="2100"/>
          <w:tab w:val="left" w:pos="7140"/>
          <w:tab w:val="left" w:pos="7350"/>
          <w:tab w:val="left" w:pos="7560"/>
        </w:tabs>
        <w:jc w:val="center"/>
        <w:rPr>
          <w:rFonts w:hint="eastAsia"/>
          <w:b/>
          <w:sz w:val="36"/>
          <w:szCs w:val="36"/>
        </w:rPr>
      </w:pPr>
    </w:p>
    <w:p>
      <w:pPr>
        <w:tabs>
          <w:tab w:val="left" w:pos="1890"/>
          <w:tab w:val="left" w:pos="2100"/>
          <w:tab w:val="left" w:pos="7140"/>
          <w:tab w:val="left" w:pos="7350"/>
          <w:tab w:val="left" w:pos="7560"/>
        </w:tabs>
        <w:rPr>
          <w:rFonts w:hint="eastAsia"/>
          <w:b/>
          <w:sz w:val="36"/>
          <w:szCs w:val="36"/>
        </w:rPr>
      </w:pPr>
      <w:r>
        <w:rPr>
          <w:rFonts w:hint="eastAsia"/>
          <w:b/>
          <w:sz w:val="36"/>
          <w:szCs w:val="36"/>
        </w:rPr>
        <w:t>题目：《</w:t>
      </w:r>
      <w:r>
        <w:rPr>
          <w:rFonts w:hint="eastAsia"/>
          <w:b/>
          <w:sz w:val="36"/>
          <w:szCs w:val="36"/>
          <w:lang w:val="en-US" w:eastAsia="zh-CN"/>
        </w:rPr>
        <w:t>中国民俗文化</w:t>
      </w:r>
      <w:r>
        <w:rPr>
          <w:rFonts w:hint="eastAsia"/>
          <w:b/>
          <w:sz w:val="36"/>
          <w:szCs w:val="36"/>
        </w:rPr>
        <w:t>》读书报告</w:t>
      </w:r>
    </w:p>
    <w:p>
      <w:pPr>
        <w:spacing w:line="360" w:lineRule="auto"/>
        <w:rPr>
          <w:rFonts w:hint="eastAsia" w:ascii="黑体" w:hAnsi="宋体" w:eastAsia="黑体"/>
          <w:sz w:val="30"/>
          <w:szCs w:val="30"/>
        </w:rPr>
      </w:pPr>
    </w:p>
    <w:p>
      <w:pPr>
        <w:spacing w:line="360" w:lineRule="auto"/>
        <w:rPr>
          <w:rFonts w:hint="eastAsia" w:ascii="黑体" w:hAnsi="宋体" w:eastAsia="黑体"/>
          <w:sz w:val="30"/>
          <w:szCs w:val="30"/>
        </w:rPr>
      </w:pPr>
    </w:p>
    <w:p>
      <w:pPr>
        <w:spacing w:line="360" w:lineRule="auto"/>
        <w:rPr>
          <w:rFonts w:hint="eastAsia" w:ascii="黑体" w:hAnsi="宋体" w:eastAsia="黑体"/>
          <w:sz w:val="30"/>
          <w:szCs w:val="30"/>
        </w:rPr>
      </w:pPr>
    </w:p>
    <w:p>
      <w:pPr>
        <w:spacing w:line="360" w:lineRule="auto"/>
        <w:rPr>
          <w:rFonts w:hint="eastAsia" w:ascii="黑体" w:hAnsi="宋体" w:eastAsia="黑体"/>
          <w:sz w:val="30"/>
          <w:szCs w:val="30"/>
        </w:rPr>
      </w:pPr>
    </w:p>
    <w:p>
      <w:pPr>
        <w:spacing w:line="360" w:lineRule="auto"/>
        <w:jc w:val="left"/>
        <w:rPr>
          <w:rFonts w:ascii="黑体" w:hAnsi="宋体" w:eastAsia="黑体"/>
          <w:sz w:val="30"/>
          <w:szCs w:val="30"/>
          <w:u w:val="single"/>
        </w:rPr>
      </w:pPr>
      <w:r>
        <w:rPr>
          <w:rFonts w:hint="eastAsia" w:ascii="黑体" w:hAnsi="宋体" w:eastAsia="黑体"/>
          <w:sz w:val="30"/>
          <w:szCs w:val="30"/>
        </w:rPr>
        <w:t>专    业    名    称</w:t>
      </w:r>
      <w:r>
        <w:rPr>
          <w:rFonts w:hint="eastAsia" w:ascii="黑体" w:hAnsi="宋体" w:eastAsia="黑体"/>
          <w:sz w:val="30"/>
          <w:szCs w:val="30"/>
          <w:u w:val="single"/>
        </w:rPr>
        <w:t xml:space="preserve">    文物与博物馆学         </w:t>
      </w:r>
    </w:p>
    <w:p>
      <w:pPr>
        <w:spacing w:line="360" w:lineRule="auto"/>
        <w:jc w:val="left"/>
        <w:rPr>
          <w:rFonts w:ascii="黑体" w:hAnsi="宋体" w:eastAsia="黑体"/>
          <w:spacing w:val="72"/>
          <w:sz w:val="30"/>
          <w:szCs w:val="30"/>
        </w:rPr>
      </w:pPr>
      <w:r>
        <w:rPr>
          <w:rFonts w:hint="eastAsia" w:ascii="黑体" w:hAnsi="宋体" w:eastAsia="黑体"/>
          <w:sz w:val="30"/>
          <w:szCs w:val="30"/>
        </w:rPr>
        <w:t>年                级</w:t>
      </w:r>
      <w:r>
        <w:rPr>
          <w:rFonts w:hint="eastAsia" w:ascii="黑体" w:hAnsi="宋体" w:eastAsia="黑体"/>
          <w:sz w:val="30"/>
          <w:szCs w:val="30"/>
          <w:u w:val="single"/>
        </w:rPr>
        <w:t xml:space="preserve">     </w:t>
      </w:r>
      <w:r>
        <w:rPr>
          <w:rFonts w:hint="eastAsia" w:ascii="黑体" w:hAnsi="宋体" w:eastAsia="黑体"/>
          <w:sz w:val="30"/>
          <w:szCs w:val="30"/>
          <w:u w:val="single"/>
          <w:lang w:val="en-US" w:eastAsia="zh-CN"/>
        </w:rPr>
        <w:t xml:space="preserve"> </w:t>
      </w:r>
      <w:r>
        <w:rPr>
          <w:rFonts w:hint="eastAsia" w:ascii="黑体" w:hAnsi="宋体" w:eastAsia="黑体"/>
          <w:sz w:val="30"/>
          <w:szCs w:val="30"/>
          <w:u w:val="single"/>
        </w:rPr>
        <w:t xml:space="preserve">2016级               </w:t>
      </w:r>
    </w:p>
    <w:p>
      <w:pPr>
        <w:spacing w:line="360" w:lineRule="auto"/>
        <w:jc w:val="left"/>
        <w:rPr>
          <w:rFonts w:ascii="黑体" w:hAnsi="宋体" w:eastAsia="黑体"/>
          <w:sz w:val="30"/>
          <w:szCs w:val="30"/>
        </w:rPr>
      </w:pPr>
      <w:r>
        <w:rPr>
          <w:rFonts w:hint="eastAsia" w:ascii="黑体" w:hAnsi="宋体" w:eastAsia="黑体"/>
          <w:spacing w:val="80"/>
          <w:sz w:val="30"/>
          <w:szCs w:val="30"/>
        </w:rPr>
        <w:t>学生姓名、学</w:t>
      </w:r>
      <w:r>
        <w:rPr>
          <w:rFonts w:hint="eastAsia" w:ascii="黑体" w:hAnsi="宋体" w:eastAsia="黑体"/>
          <w:sz w:val="30"/>
          <w:szCs w:val="30"/>
        </w:rPr>
        <w:t>号</w:t>
      </w:r>
      <w:r>
        <w:rPr>
          <w:rFonts w:hint="eastAsia" w:ascii="黑体" w:hAnsi="宋体" w:eastAsia="黑体"/>
          <w:spacing w:val="60"/>
          <w:sz w:val="30"/>
          <w:szCs w:val="30"/>
          <w:u w:val="single"/>
        </w:rPr>
        <w:t xml:space="preserve">  </w:t>
      </w:r>
      <w:r>
        <w:rPr>
          <w:rFonts w:hint="eastAsia" w:ascii="黑体" w:hAnsi="宋体" w:eastAsia="黑体"/>
          <w:spacing w:val="60"/>
          <w:sz w:val="30"/>
          <w:szCs w:val="30"/>
          <w:u w:val="single"/>
          <w:lang w:val="en-US" w:eastAsia="zh-CN"/>
        </w:rPr>
        <w:t xml:space="preserve">  王惠</w:t>
      </w:r>
      <w:r>
        <w:rPr>
          <w:rFonts w:hint="eastAsia" w:ascii="黑体" w:hAnsi="宋体" w:eastAsia="黑体"/>
          <w:spacing w:val="60"/>
          <w:sz w:val="30"/>
          <w:szCs w:val="30"/>
          <w:u w:val="single"/>
        </w:rPr>
        <w:t xml:space="preserve">      </w:t>
      </w:r>
      <w:r>
        <w:rPr>
          <w:rFonts w:hint="eastAsia" w:ascii="黑体" w:hAnsi="宋体" w:eastAsia="黑体"/>
          <w:sz w:val="30"/>
          <w:szCs w:val="30"/>
          <w:u w:val="single"/>
        </w:rPr>
        <w:t xml:space="preserve"> </w:t>
      </w:r>
    </w:p>
    <w:p>
      <w:pPr>
        <w:spacing w:line="360" w:lineRule="auto"/>
        <w:jc w:val="left"/>
        <w:rPr>
          <w:rFonts w:ascii="黑体" w:hAnsi="宋体" w:eastAsia="黑体"/>
          <w:spacing w:val="8"/>
          <w:sz w:val="30"/>
          <w:szCs w:val="30"/>
          <w:u w:val="single"/>
        </w:rPr>
      </w:pPr>
      <w:r>
        <w:rPr>
          <w:rFonts w:hint="eastAsia" w:ascii="黑体" w:hAnsi="宋体" w:eastAsia="黑体"/>
          <w:spacing w:val="29"/>
          <w:sz w:val="30"/>
          <w:szCs w:val="30"/>
        </w:rPr>
        <w:t>指    导  教  师</w:t>
      </w:r>
      <w:r>
        <w:rPr>
          <w:rFonts w:hint="eastAsia" w:ascii="黑体" w:hAnsi="宋体" w:eastAsia="黑体"/>
          <w:spacing w:val="8"/>
          <w:sz w:val="30"/>
          <w:szCs w:val="30"/>
          <w:u w:val="single"/>
        </w:rPr>
        <w:t xml:space="preserve">  </w:t>
      </w:r>
      <w:r>
        <w:rPr>
          <w:rFonts w:hint="eastAsia" w:ascii="黑体" w:hAnsi="宋体" w:eastAsia="黑体"/>
          <w:sz w:val="30"/>
          <w:szCs w:val="30"/>
          <w:u w:val="single"/>
        </w:rPr>
        <w:t xml:space="preserve">    李志刚               </w:t>
      </w:r>
    </w:p>
    <w:p>
      <w:pPr>
        <w:jc w:val="left"/>
        <w:rPr>
          <w:rFonts w:hint="eastAsia" w:ascii="黑体" w:hAnsi="宋体" w:eastAsia="黑体"/>
          <w:sz w:val="30"/>
          <w:szCs w:val="30"/>
          <w:u w:val="single"/>
        </w:rPr>
      </w:pPr>
      <w:r>
        <w:rPr>
          <w:rFonts w:hint="eastAsia" w:ascii="黑体" w:hAnsi="宋体" w:eastAsia="黑体"/>
          <w:spacing w:val="12"/>
          <w:sz w:val="30"/>
          <w:szCs w:val="30"/>
        </w:rPr>
        <w:t>完    成   日   期</w:t>
      </w:r>
      <w:r>
        <w:rPr>
          <w:rFonts w:hint="eastAsia" w:ascii="黑体" w:hAnsi="宋体" w:eastAsia="黑体"/>
          <w:sz w:val="30"/>
          <w:szCs w:val="30"/>
          <w:u w:val="single"/>
        </w:rPr>
        <w:t xml:space="preserve">     2017.2.15             </w:t>
      </w:r>
    </w:p>
    <w:p>
      <w:pPr>
        <w:ind w:firstLine="750" w:firstLineChars="250"/>
        <w:jc w:val="left"/>
        <w:rPr>
          <w:rFonts w:hint="eastAsia" w:ascii="黑体" w:hAnsi="宋体" w:eastAsia="黑体"/>
          <w:sz w:val="30"/>
          <w:szCs w:val="30"/>
          <w:u w:val="single"/>
        </w:rPr>
      </w:pPr>
    </w:p>
    <w:p>
      <w:pPr>
        <w:ind w:firstLine="750" w:firstLineChars="250"/>
        <w:jc w:val="left"/>
        <w:rPr>
          <w:rFonts w:hint="eastAsia" w:ascii="黑体" w:hAnsi="宋体" w:eastAsia="黑体"/>
          <w:sz w:val="30"/>
          <w:szCs w:val="30"/>
          <w:u w:val="single"/>
        </w:rPr>
      </w:pPr>
    </w:p>
    <w:p>
      <w:pPr>
        <w:ind w:firstLine="750" w:firstLineChars="250"/>
        <w:rPr>
          <w:rFonts w:hint="eastAsia" w:ascii="黑体" w:hAnsi="宋体" w:eastAsia="黑体"/>
          <w:sz w:val="30"/>
          <w:szCs w:val="30"/>
          <w:u w:val="single"/>
        </w:rPr>
      </w:pPr>
    </w:p>
    <w:p>
      <w:pPr>
        <w:ind w:firstLine="750" w:firstLineChars="250"/>
        <w:rPr>
          <w:rFonts w:hint="eastAsia" w:ascii="黑体" w:hAnsi="宋体" w:eastAsia="黑体"/>
          <w:sz w:val="30"/>
          <w:szCs w:val="30"/>
          <w:u w:val="single"/>
        </w:rPr>
      </w:pPr>
    </w:p>
    <w:p>
      <w:pPr>
        <w:rPr>
          <w:rFonts w:hint="eastAsia" w:ascii="黑体" w:hAnsi="宋体" w:eastAsia="黑体"/>
          <w:sz w:val="30"/>
          <w:szCs w:val="30"/>
          <w:u w:val="single"/>
        </w:rPr>
      </w:pPr>
    </w:p>
    <w:p>
      <w:pPr>
        <w:ind w:firstLine="900" w:firstLineChars="300"/>
        <w:rPr>
          <w:sz w:val="24"/>
        </w:rPr>
      </w:pPr>
      <w:r>
        <w:rPr>
          <w:rFonts w:hint="eastAsia" w:ascii="黑体" w:hAnsi="宋体" w:eastAsia="黑体"/>
          <w:sz w:val="30"/>
          <w:szCs w:val="30"/>
          <w:u w:val="single"/>
        </w:rPr>
        <w:t xml:space="preserve">成绩：                              </w:t>
      </w:r>
      <w:r>
        <w:rPr>
          <w:sz w:val="24"/>
        </w:rPr>
        <w:t xml:space="preserve">  </w:t>
      </w:r>
    </w:p>
    <w:p>
      <w:pPr>
        <w:ind w:firstLine="900" w:firstLineChars="300"/>
        <w:rPr>
          <w:sz w:val="24"/>
        </w:rPr>
      </w:pPr>
    </w:p>
    <w:p>
      <w:pPr>
        <w:ind w:firstLine="900" w:firstLineChars="300"/>
        <w:rPr>
          <w:sz w:val="24"/>
        </w:rPr>
      </w:pPr>
    </w:p>
    <w:p>
      <w:pPr>
        <w:ind w:firstLine="900" w:firstLineChars="300"/>
        <w:rPr>
          <w:sz w:val="24"/>
        </w:rPr>
      </w:pPr>
    </w:p>
    <w:p>
      <w:pPr>
        <w:ind w:firstLine="900" w:firstLineChars="300"/>
        <w:rPr>
          <w:sz w:val="24"/>
        </w:rPr>
      </w:pPr>
    </w:p>
    <w:p>
      <w:pPr>
        <w:ind w:firstLine="900" w:firstLineChars="300"/>
        <w:rPr>
          <w:sz w:val="24"/>
        </w:rPr>
      </w:pPr>
    </w:p>
    <w:p>
      <w:pPr>
        <w:ind w:firstLine="900" w:firstLineChars="300"/>
        <w:rPr>
          <w:sz w:val="24"/>
        </w:rPr>
      </w:pPr>
    </w:p>
    <w:p>
      <w:pPr>
        <w:ind w:firstLine="900" w:firstLineChars="300"/>
        <w:rPr>
          <w:sz w:val="24"/>
        </w:rPr>
      </w:pPr>
    </w:p>
    <w:p>
      <w:pPr>
        <w:ind w:firstLine="900" w:firstLineChars="300"/>
        <w:rPr>
          <w:sz w:val="24"/>
        </w:rPr>
      </w:pPr>
    </w:p>
    <w:p>
      <w:pPr>
        <w:ind w:firstLine="900" w:firstLineChars="300"/>
        <w:rPr>
          <w:sz w:val="24"/>
        </w:rPr>
      </w:pPr>
    </w:p>
    <w:p>
      <w:pPr>
        <w:ind w:firstLine="900" w:firstLineChars="300"/>
        <w:rPr>
          <w:sz w:val="24"/>
        </w:rPr>
      </w:pPr>
    </w:p>
    <w:p>
      <w:pPr>
        <w:ind w:firstLine="900" w:firstLineChars="300"/>
        <w:rPr>
          <w:sz w:val="24"/>
        </w:rPr>
      </w:pPr>
    </w:p>
    <w:p>
      <w:pPr>
        <w:ind w:firstLine="900" w:firstLineChars="300"/>
        <w:rPr>
          <w:sz w:val="24"/>
        </w:rPr>
      </w:pPr>
    </w:p>
    <w:p>
      <w:pPr>
        <w:ind w:firstLine="900" w:firstLineChars="300"/>
        <w:rPr>
          <w:sz w:val="24"/>
        </w:rPr>
      </w:pPr>
    </w:p>
    <w:p>
      <w:pPr>
        <w:ind w:firstLine="900" w:firstLineChars="300"/>
        <w:rPr>
          <w:sz w:val="24"/>
        </w:rPr>
      </w:pPr>
    </w:p>
    <w:p>
      <w:pPr>
        <w:ind w:firstLine="900" w:firstLineChars="300"/>
        <w:rPr>
          <w:sz w:val="24"/>
        </w:rPr>
      </w:pPr>
      <w:bookmarkStart w:id="0" w:name="_GoBack"/>
      <w:bookmarkEnd w:id="0"/>
    </w:p>
    <w:p>
      <w:pPr>
        <w:ind w:firstLine="900" w:firstLineChars="300"/>
        <w:rPr>
          <w:sz w:val="24"/>
        </w:rPr>
      </w:pPr>
    </w:p>
    <w:p>
      <w:pPr>
        <w:ind w:firstLine="900" w:firstLineChars="300"/>
        <w:rPr>
          <w:sz w:val="24"/>
        </w:rPr>
      </w:pPr>
    </w:p>
    <w:p>
      <w:pPr>
        <w:ind w:firstLine="900" w:firstLineChars="300"/>
        <w:jc w:val="both"/>
      </w:pPr>
    </w:p>
    <w:p>
      <w:pPr>
        <w:pStyle w:val="2"/>
        <w:jc w:val="center"/>
        <w:rPr>
          <w:rFonts w:hint="eastAsia"/>
          <w:lang w:val="en-US" w:eastAsia="zh-CN"/>
        </w:rPr>
      </w:pPr>
      <w:r>
        <w:rPr>
          <w:rFonts w:hint="eastAsia"/>
          <w:lang w:val="en-US" w:eastAsia="zh-CN"/>
        </w:rPr>
        <w:t>《中国民俗文化》读书报告</w:t>
      </w:r>
    </w:p>
    <w:p>
      <w:pPr>
        <w:jc w:val="both"/>
        <w:rPr>
          <w:rStyle w:val="8"/>
          <w:rFonts w:hint="eastAsia" w:ascii="楷体" w:hAnsi="楷体" w:eastAsia="楷体" w:cs="楷体"/>
          <w:sz w:val="21"/>
          <w:szCs w:val="21"/>
          <w:lang w:val="en-US" w:eastAsia="zh-CN"/>
        </w:rPr>
      </w:pPr>
      <w:r>
        <w:rPr>
          <w:rStyle w:val="8"/>
          <w:rFonts w:hint="eastAsia" w:asciiTheme="minorAscii"/>
          <w:lang w:val="en-US" w:eastAsia="zh-CN"/>
        </w:rPr>
        <w:t xml:space="preserve">                          </w:t>
      </w:r>
      <w:r>
        <w:rPr>
          <w:rStyle w:val="8"/>
          <w:rFonts w:hint="eastAsia" w:ascii="楷体" w:hAnsi="楷体" w:eastAsia="楷体" w:cs="楷体"/>
          <w:sz w:val="21"/>
          <w:szCs w:val="21"/>
          <w:lang w:val="en-US" w:eastAsia="zh-CN"/>
        </w:rPr>
        <w:t xml:space="preserve"> 王惠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Ascii" w:hAnsiTheme="majorEastAsia" w:eastAsiaTheme="majorEastAsia" w:cstheme="majorEastAsia"/>
          <w:b w:val="0"/>
          <w:i w:val="0"/>
          <w:caps w:val="0"/>
          <w:color w:val="000000" w:themeColor="text1"/>
          <w:spacing w:val="0"/>
          <w:sz w:val="21"/>
          <w:szCs w:val="21"/>
          <w:shd w:val="clear" w:fill="FFFFFF"/>
          <w14:textFill>
            <w14:solidFill>
              <w14:schemeClr w14:val="tx1"/>
            </w14:solidFill>
          </w14:textFill>
        </w:rPr>
      </w:pPr>
      <w:r>
        <w:rPr>
          <w:rFonts w:hint="eastAsia" w:asciiTheme="minorAscii" w:hAnsiTheme="majorEastAsia" w:eastAsiaTheme="majorEastAsia" w:cstheme="majorEastAsia"/>
          <w:color w:val="000000" w:themeColor="text1"/>
          <w:sz w:val="21"/>
          <w:szCs w:val="21"/>
          <w:lang w:val="en-US" w:eastAsia="zh-CN"/>
          <w14:textFill>
            <w14:solidFill>
              <w14:schemeClr w14:val="tx1"/>
            </w14:solidFill>
          </w14:textFill>
        </w:rPr>
        <w:t>《中国民俗文化》作者柯玲。</w:t>
      </w:r>
      <w:r>
        <w:rPr>
          <w:rFonts w:hint="eastAsia" w:asciiTheme="minorAscii" w:hAnsiTheme="majorEastAsia" w:eastAsiaTheme="majorEastAsia" w:cstheme="majorEastAsia"/>
          <w:b w:val="0"/>
          <w:i w:val="0"/>
          <w:caps w:val="0"/>
          <w:color w:val="000000" w:themeColor="text1"/>
          <w:spacing w:val="0"/>
          <w:sz w:val="21"/>
          <w:szCs w:val="21"/>
          <w:shd w:val="clear" w:fill="FFFFFF"/>
          <w14:textFill>
            <w14:solidFill>
              <w14:schemeClr w14:val="tx1"/>
            </w14:solidFill>
          </w14:textFill>
        </w:rPr>
        <w:t>柯玲 (1931.10—2001.10)女，广东省汕头市人，擅长连环画。1955年</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instrText xml:space="preserve"> HYPERLINK "http://baike.baidu.com/item/%E4%B8%8A%E6%B5%B7%E7%BE%8E%E6%9C%AF%E4%B8%93%E7%A7%91%E5%AD%A6%E6%A0%A1" \t "http://baike.baidu.com/item/%E6%9F%AF%E7%8E%B2/_blank" </w:instrTex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t>上海美术专科学校</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Theme="minorAscii" w:hAnsiTheme="majorEastAsia" w:eastAsiaTheme="majorEastAsia" w:cstheme="majorEastAsia"/>
          <w:b w:val="0"/>
          <w:i w:val="0"/>
          <w:caps w:val="0"/>
          <w:color w:val="000000" w:themeColor="text1"/>
          <w:spacing w:val="0"/>
          <w:sz w:val="21"/>
          <w:szCs w:val="21"/>
          <w:shd w:val="clear" w:fill="FFFFFF"/>
          <w14:textFill>
            <w14:solidFill>
              <w14:schemeClr w14:val="tx1"/>
            </w14:solidFill>
          </w14:textFill>
        </w:rPr>
        <w:t>毕业，历任</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instrText xml:space="preserve"> HYPERLINK "http://baike.baidu.com/item/%E8%BE%BD%E5%AE%81%E7%BE%8E%E6%9C%AF%E5%87%BA%E7%89%88%E7%A4%BE" \t "http://baike.baidu.com/item/%E6%9F%AF%E7%8E%B2/_blank" </w:instrTex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t>辽宁美术出版社</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Theme="minorAscii" w:hAnsiTheme="majorEastAsia" w:eastAsiaTheme="majorEastAsia" w:cstheme="majorEastAsia"/>
          <w:b w:val="0"/>
          <w:i w:val="0"/>
          <w:caps w:val="0"/>
          <w:color w:val="000000" w:themeColor="text1"/>
          <w:spacing w:val="0"/>
          <w:sz w:val="21"/>
          <w:szCs w:val="21"/>
          <w:shd w:val="clear" w:fill="FFFFFF"/>
          <w14:textFill>
            <w14:solidFill>
              <w14:schemeClr w14:val="tx1"/>
            </w14:solidFill>
          </w14:textFill>
        </w:rPr>
        <w:t>、</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instrText xml:space="preserve"> HYPERLINK "http://baike.baidu.com/item/%E7%A6%8F%E5%BB%BA%E4%BA%BA%E6%B0%91%E5%87%BA%E7%89%88%E7%A4%BE" \t "http://baike.baidu.com/item/%E6%9F%AF%E7%8E%B2/_blank" </w:instrTex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t>福建人民出版社</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Theme="minorAscii" w:hAnsiTheme="majorEastAsia" w:eastAsiaTheme="majorEastAsia" w:cstheme="majorEastAsia"/>
          <w:b w:val="0"/>
          <w:i w:val="0"/>
          <w:caps w:val="0"/>
          <w:color w:val="000000" w:themeColor="text1"/>
          <w:spacing w:val="0"/>
          <w:sz w:val="21"/>
          <w:szCs w:val="21"/>
          <w:shd w:val="clear" w:fill="FFFFFF"/>
          <w14:textFill>
            <w14:solidFill>
              <w14:schemeClr w14:val="tx1"/>
            </w14:solidFill>
          </w14:textFill>
        </w:rPr>
        <w:t>、</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instrText xml:space="preserve"> HYPERLINK "http://baike.baidu.com/item/%E7%A6%8F%E5%BB%BA%E7%BE%8E%E6%9C%AF%E5%87%BA%E7%89%88%E7%A4%BE" \t "http://baike.baidu.com/item/%E6%9F%AF%E7%8E%B2/_blank" </w:instrTex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t>福建美术出版社</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Theme="minorAscii" w:hAnsiTheme="majorEastAsia" w:eastAsiaTheme="majorEastAsia" w:cstheme="majorEastAsia"/>
          <w:b w:val="0"/>
          <w:i w:val="0"/>
          <w:caps w:val="0"/>
          <w:color w:val="000000" w:themeColor="text1"/>
          <w:spacing w:val="0"/>
          <w:sz w:val="21"/>
          <w:szCs w:val="21"/>
          <w:shd w:val="clear" w:fill="FFFFFF"/>
          <w14:textFill>
            <w14:solidFill>
              <w14:schemeClr w14:val="tx1"/>
            </w14:solidFill>
          </w14:textFill>
        </w:rPr>
        <w:t>创作员、副编审等。作品有《</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instrText xml:space="preserve"> HYPERLINK "http://baike.baidu.com/item/%E9%99%88%E5%BA%B7%E5%AE%B9" \t "http://baike.baidu.com/item/%E6%9F%AF%E7%8E%B2/_blank" </w:instrTex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t>陈康容</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instrText xml:space="preserve"> HYPERLINK "http://baike.baidu.com/item/%E7%83%88%E5%A3%AB" \t "http://baike.baidu.com/item/%E6%9F%AF%E7%8E%B2/_blank" </w:instrTex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t>烈士</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Theme="minorAscii" w:hAnsiTheme="majorEastAsia" w:eastAsiaTheme="majorEastAsia" w:cstheme="majorEastAsia"/>
          <w:b w:val="0"/>
          <w:i w:val="0"/>
          <w:caps w:val="0"/>
          <w:color w:val="000000" w:themeColor="text1"/>
          <w:spacing w:val="0"/>
          <w:sz w:val="21"/>
          <w:szCs w:val="21"/>
          <w:shd w:val="clear" w:fill="FFFFFF"/>
          <w14:textFill>
            <w14:solidFill>
              <w14:schemeClr w14:val="tx1"/>
            </w14:solidFill>
          </w14:textFill>
        </w:rPr>
        <w:t>》、《</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instrText xml:space="preserve"> HYPERLINK "http://baike.baidu.com/item/%E9%9C%B8%E7%8E%8B%E5%88%AB%E5%A7%AC/6144" \t "http://baike.baidu.com/item/%E6%9F%AF%E7%8E%B2/_blank" </w:instrTex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t>霸王别姬</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Theme="minorAscii" w:hAnsiTheme="majorEastAsia" w:eastAsiaTheme="majorEastAsia" w:cstheme="majorEastAsia"/>
          <w:b w:val="0"/>
          <w:i w:val="0"/>
          <w:caps w:val="0"/>
          <w:color w:val="000000" w:themeColor="text1"/>
          <w:spacing w:val="0"/>
          <w:sz w:val="21"/>
          <w:szCs w:val="21"/>
          <w:shd w:val="clear" w:fill="FFFFFF"/>
          <w14:textFill>
            <w14:solidFill>
              <w14:schemeClr w14:val="tx1"/>
            </w14:solidFill>
          </w14:textFill>
        </w:rPr>
        <w:t>》、《金色的海滩》、《</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instrText xml:space="preserve"> HYPERLINK "http://baike.baidu.com/item/%E5%B1%B1%E5%A4%96%E5%B1%B1" \t "http://baike.baidu.com/item/%E6%9F%AF%E7%8E%B2/_blank" </w:instrTex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t>山外山</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Theme="minorAscii" w:hAnsiTheme="majorEastAsia" w:eastAsiaTheme="majorEastAsia" w:cstheme="majorEastAsia"/>
          <w:b w:val="0"/>
          <w:i w:val="0"/>
          <w:caps w:val="0"/>
          <w:color w:val="000000" w:themeColor="text1"/>
          <w:spacing w:val="0"/>
          <w:sz w:val="21"/>
          <w:szCs w:val="21"/>
          <w:shd w:val="clear" w:fill="FFFFFF"/>
          <w14:textFill>
            <w14:solidFill>
              <w14:schemeClr w14:val="tx1"/>
            </w14:solidFill>
          </w14:textFill>
        </w:rPr>
        <w:t>》、《</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instrText xml:space="preserve"> HYPERLINK "http://baike.baidu.com/item/%E8%A5%BF%E6%96%BD%E6%B5%A3%E7%BA%B1" \t "http://baike.baidu.com/item/%E6%9F%AF%E7%8E%B2/_blank" </w:instrTex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t>西施浣纱</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Theme="minorAscii" w:hAnsiTheme="majorEastAsia" w:eastAsiaTheme="majorEastAsia" w:cstheme="majorEastAsia"/>
          <w:b w:val="0"/>
          <w:i w:val="0"/>
          <w:caps w:val="0"/>
          <w:color w:val="000000" w:themeColor="text1"/>
          <w:spacing w:val="0"/>
          <w:sz w:val="21"/>
          <w:szCs w:val="21"/>
          <w:shd w:val="clear" w:fill="FFFFFF"/>
          <w14:textFill>
            <w14:solidFill>
              <w14:schemeClr w14:val="tx1"/>
            </w14:solidFill>
          </w14:textFill>
        </w:rPr>
        <w:t>》、《</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instrText xml:space="preserve"> HYPERLINK "http://baike.baidu.com/item/%E9%87%8E%E6%B3%89" \t "http://baike.baidu.com/item/%E6%9F%AF%E7%8E%B2/_blank" </w:instrTex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t>野泉</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Theme="minorAscii" w:hAnsiTheme="majorEastAsia" w:eastAsiaTheme="majorEastAsia" w:cstheme="majorEastAsia"/>
          <w:b w:val="0"/>
          <w:i w:val="0"/>
          <w:caps w:val="0"/>
          <w:color w:val="000000" w:themeColor="text1"/>
          <w:spacing w:val="0"/>
          <w:sz w:val="21"/>
          <w:szCs w:val="21"/>
          <w:shd w:val="clear" w:fill="FFFFFF"/>
          <w14:textFill>
            <w14:solidFill>
              <w14:schemeClr w14:val="tx1"/>
            </w14:solidFill>
          </w14:textFill>
        </w:rPr>
        <w:t>》、《</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instrText xml:space="preserve"> HYPERLINK "http://baike.baidu.com/item/%E5%A4%A7%E7%8E%8B/33364" \t "http://baike.baidu.com/item/%E6%9F%AF%E7%8E%B2/_blank" </w:instrTex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t>大王</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Theme="minorAscii" w:hAnsiTheme="majorEastAsia" w:eastAsiaTheme="majorEastAsia" w:cstheme="majorEastAsia"/>
          <w:b w:val="0"/>
          <w:i w:val="0"/>
          <w:caps w:val="0"/>
          <w:color w:val="000000" w:themeColor="text1"/>
          <w:spacing w:val="0"/>
          <w:sz w:val="21"/>
          <w:szCs w:val="21"/>
          <w:shd w:val="clear" w:fill="FFFFFF"/>
          <w14:textFill>
            <w14:solidFill>
              <w14:schemeClr w14:val="tx1"/>
            </w14:solidFill>
          </w14:textFill>
        </w:rPr>
        <w:t>与</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instrText xml:space="preserve"> HYPERLINK "http://baike.baidu.com/item/%E7%8E%89%E5%A5%B3/10168029" \t "http://baike.baidu.com/item/%E6%9F%AF%E7%8E%B2/_blank" </w:instrTex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t>玉女</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Theme="minorAscii" w:hAnsiTheme="majorEastAsia" w:eastAsiaTheme="majorEastAsia" w:cstheme="majorEastAsia"/>
          <w:b w:val="0"/>
          <w:i w:val="0"/>
          <w:caps w:val="0"/>
          <w:color w:val="000000" w:themeColor="text1"/>
          <w:spacing w:val="0"/>
          <w:sz w:val="21"/>
          <w:szCs w:val="21"/>
          <w:shd w:val="clear" w:fill="FFFFFF"/>
          <w14:textFill>
            <w14:solidFill>
              <w14:schemeClr w14:val="tx1"/>
            </w14:solidFill>
          </w14:textFill>
        </w:rPr>
        <w:t>》、《</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instrText xml:space="preserve"> HYPERLINK "http://baike.baidu.com/item/%E6%A2%A6%E5%B9%BB/70422" \t "http://baike.baidu.com/item/%E6%9F%AF%E7%8E%B2/_blank" </w:instrTex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t>梦幻</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Theme="minorAscii" w:hAnsiTheme="majorEastAsia" w:eastAsiaTheme="majorEastAsia" w:cstheme="majorEastAsia"/>
          <w:b w:val="0"/>
          <w:i w:val="0"/>
          <w:caps w:val="0"/>
          <w:color w:val="000000" w:themeColor="text1"/>
          <w:spacing w:val="0"/>
          <w:sz w:val="21"/>
          <w:szCs w:val="21"/>
          <w:shd w:val="clear" w:fill="FFFFFF"/>
          <w14:textFill>
            <w14:solidFill>
              <w14:schemeClr w14:val="tx1"/>
            </w14:solidFill>
          </w14:textFill>
        </w:rPr>
        <w:t>》、《</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instrText xml:space="preserve"> HYPERLINK "http://baike.baidu.com/item/%E7%A7%8B%E9%9F%B5" \t "http://baike.baidu.com/item/%E6%9F%AF%E7%8E%B2/_blank" </w:instrTex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t>秋韵</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Theme="minorAscii" w:hAnsiTheme="majorEastAsia" w:eastAsiaTheme="majorEastAsia" w:cstheme="majorEastAsia"/>
          <w:b w:val="0"/>
          <w:i w:val="0"/>
          <w:caps w:val="0"/>
          <w:color w:val="000000" w:themeColor="text1"/>
          <w:spacing w:val="0"/>
          <w:sz w:val="21"/>
          <w:szCs w:val="21"/>
          <w:shd w:val="clear" w:fill="FFFFFF"/>
          <w14:textFill>
            <w14:solidFill>
              <w14:schemeClr w14:val="tx1"/>
            </w14:solidFill>
          </w14:textFill>
        </w:rPr>
        <w:t>》、《</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instrText xml:space="preserve"> HYPERLINK "http://baike.baidu.com/item/%E6%88%90%E4%BB%99/9969689" \t "http://baike.baidu.com/item/%E6%9F%AF%E7%8E%B2/_blank" </w:instrTex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t>成仙</w:t>
      </w:r>
      <w:r>
        <w:rPr>
          <w:rFonts w:hint="eastAsia" w:asciiTheme="minorAscii" w:hAnsiTheme="majorEastAsia" w:eastAsiaTheme="majorEastAsia" w:cstheme="majorEastAsia"/>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Theme="minorAscii" w:hAnsiTheme="majorEastAsia" w:eastAsiaTheme="majorEastAsia" w:cstheme="majorEastAsia"/>
          <w:b w:val="0"/>
          <w:i w:val="0"/>
          <w:caps w:val="0"/>
          <w:color w:val="000000" w:themeColor="text1"/>
          <w:spacing w:val="0"/>
          <w:sz w:val="21"/>
          <w:szCs w:val="21"/>
          <w:shd w:val="clear" w:fill="FFFFFF"/>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Ascii" w:hAnsiTheme="majorEastAsia" w:eastAsiaTheme="majorEastAsia" w:cstheme="majorEastAsia"/>
          <w:color w:val="002060"/>
          <w:sz w:val="21"/>
          <w:szCs w:val="21"/>
          <w:lang w:val="en-US" w:eastAsia="zh-CN"/>
        </w:rPr>
      </w:pPr>
      <w:r>
        <w:rPr>
          <w:rFonts w:hint="eastAsia" w:asciiTheme="minorAscii" w:hAnsiTheme="majorEastAsia" w:eastAsiaTheme="majorEastAsia" w:cstheme="majorEastAsia"/>
          <w:color w:val="000000" w:themeColor="text1"/>
          <w:sz w:val="21"/>
          <w:szCs w:val="21"/>
          <w:lang w:val="en-US" w:eastAsia="zh-CN"/>
          <w14:textFill>
            <w14:solidFill>
              <w14:schemeClr w14:val="tx1"/>
            </w14:solidFill>
          </w14:textFill>
        </w:rPr>
        <w:t>书中介绍中国民俗文化以先总后分的形式分为十四章，文章先总括提出中国民俗问化概说分别介绍民俗文化和中国民俗文化，后又把中国民俗文化分为日常生活、人生交际、岁时节日、生产贸易、社会组织、民俗信仰、娱乐、语言、民间文艺九大类。附录为中国民间四大传说，文章语言通俗易懂，结合具体的民俗实例，向我们表达源远流长、博大精深、各具特色的中国民俗文化，体现中国人的生活方式、文化模式和行为规范。文章由民俗文化引向中国民俗文化，民俗文化是世间广泛流传的各种民俗习惯的总称，具有象征性、传承性、集体性、区域性服务性、规范性等特征。其本质是活动是规矩是民间无形的法律，表现古着质朴、内涵奇异丰富、内容丰富多彩、形制礼俗一体、注重实用，。这些特质中国民俗文化也不例外，并且中国民俗文化中更显示出五十六个民族的别具一格的特色。</w:t>
      </w:r>
    </w:p>
    <w:p>
      <w:pPr>
        <w:pStyle w:val="3"/>
        <w:jc w:val="center"/>
        <w:rPr>
          <w:rFonts w:hint="eastAsia" w:asciiTheme="minorAscii"/>
          <w:lang w:val="en-US" w:eastAsia="zh-CN"/>
        </w:rPr>
      </w:pPr>
      <w:r>
        <w:rPr>
          <w:rFonts w:hint="eastAsia" w:asciiTheme="minorAscii"/>
          <w:lang w:val="en-US" w:eastAsia="zh-CN"/>
        </w:rPr>
        <w:t>中国民俗文化-----中国服饰民俗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Ascii"/>
          <w:color w:val="000000" w:themeColor="text1"/>
          <w:sz w:val="21"/>
          <w:szCs w:val="21"/>
          <w:lang w:val="en-US" w:eastAsia="zh-CN"/>
          <w14:textFill>
            <w14:solidFill>
              <w14:schemeClr w14:val="tx1"/>
            </w14:solidFill>
          </w14:textFill>
        </w:rPr>
      </w:pPr>
      <w:r>
        <w:rPr>
          <w:rFonts w:hint="eastAsia" w:asciiTheme="minorAscii"/>
          <w:color w:val="000000" w:themeColor="text1"/>
          <w:sz w:val="21"/>
          <w:szCs w:val="21"/>
          <w:lang w:val="en-US" w:eastAsia="zh-CN"/>
          <w14:textFill>
            <w14:solidFill>
              <w14:schemeClr w14:val="tx1"/>
            </w14:solidFill>
          </w14:textFill>
        </w:rPr>
        <w:t>生活离不开衣食住行，衣是重要表现随着社会生产力的发展，生活习俗、审美情趣、色彩、文化心态、宗教信仰等越来越多东西融入到服饰中，意蕴深厚。中国民俗文化具有实用性、人类民族性、仪式性、寓意性等特点。文中介绍了儿童服饰民俗、成人服饰民俗、少数民族服饰民俗与民俗服饰的特性一一对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Ascii"/>
          <w:color w:val="000000" w:themeColor="text1"/>
          <w:sz w:val="21"/>
          <w:szCs w:val="21"/>
          <w:lang w:val="en-US" w:eastAsia="zh-CN"/>
          <w14:textFill>
            <w14:solidFill>
              <w14:schemeClr w14:val="tx1"/>
            </w14:solidFill>
          </w14:textFill>
        </w:rPr>
      </w:pPr>
      <w:r>
        <w:rPr>
          <w:rFonts w:hint="eastAsia" w:asciiTheme="minorAscii"/>
          <w:color w:val="000000" w:themeColor="text1"/>
          <w:sz w:val="21"/>
          <w:szCs w:val="21"/>
          <w:lang w:val="en-US" w:eastAsia="zh-CN"/>
          <w14:textFill>
            <w14:solidFill>
              <w14:schemeClr w14:val="tx1"/>
            </w14:solidFill>
          </w14:textFill>
        </w:rPr>
        <w:t>儿童服饰中的毛衫、开裆裤、肚兜、背心，选材选择柔软的软棉布不缝边、不缝口是希望孩子能够自由成长另一方面是保护婴；婴儿穿的肚兜则是民俗服饰寓意性的体现，“五毒肚兜”在肚兜上绣上蝎子、蜈蚣、蛤蟆、蛇和壁虎五中毒虫，寓意以毒攻毒，这种图案上的习俗在某种角度上说具有图腾崇拜的色彩。新生婴儿要穿肚兜，娶媳妇定亲要送肚兜，本命年要穿红肚兜，寿终正寝后要给死者穿刺有青蛙、蟾蜍等图案的肚兜祈求好运，具有很强的寓意性、通用性。童鞋、童帽、头饰等既讲究实用，也讲究利用各种符号求吉祥，其中具有代表性的是狗头帽和虎头帽传说戴狗头帽更容易养活，戴虎头帽能茁壮成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Ascii"/>
          <w:color w:val="000000" w:themeColor="text1"/>
          <w:sz w:val="28"/>
          <w:szCs w:val="28"/>
          <w:lang w:val="en-US" w:eastAsia="zh-CN"/>
          <w14:textFill>
            <w14:solidFill>
              <w14:schemeClr w14:val="tx1"/>
            </w14:solidFill>
          </w14:textFill>
        </w:rPr>
      </w:pPr>
      <w:r>
        <w:rPr>
          <w:rFonts w:hint="eastAsia" w:asciiTheme="minorAscii"/>
          <w:color w:val="000000" w:themeColor="text1"/>
          <w:sz w:val="21"/>
          <w:szCs w:val="21"/>
          <w:lang w:val="en-US" w:eastAsia="zh-CN"/>
          <w14:textFill>
            <w14:solidFill>
              <w14:schemeClr w14:val="tx1"/>
            </w14:solidFill>
          </w14:textFill>
        </w:rPr>
        <w:t>少数民俗服饰则对颜色、款型、刺绣图案、搭配什么样的配饰、什么样的年龄段穿什么样颜色，款型的衣服都有不一样的要求，但都以实用性为第一原则。例如傣族服饰服饰民俗，女子一般穿短衣和筒裙，简单、干练，方便日常生活、劳动。在少数民族中服饰也是年龄的标志，区分已婚未婚的标志，傣族服饰中不可缺少的“银带”，银带是由母亲传承下来的包含了浓浓的母爱，凡是已婚妇女银腰带上都挂有几把钥匙，未婚少女则不挂钥匙，少数民族文化是中国民俗文化的重要组成部分，它体现了不同于汉族的千百年来的文化传承</w:t>
      </w:r>
      <w:r>
        <w:rPr>
          <w:rFonts w:hint="eastAsia" w:asciiTheme="minorAscii"/>
          <w:color w:val="000000" w:themeColor="text1"/>
          <w:sz w:val="28"/>
          <w:szCs w:val="28"/>
          <w:lang w:val="en-US" w:eastAsia="zh-CN"/>
          <w14:textFill>
            <w14:solidFill>
              <w14:schemeClr w14:val="tx1"/>
            </w14:solidFill>
          </w14:textFill>
        </w:rPr>
        <w:t>。</w:t>
      </w:r>
    </w:p>
    <w:p>
      <w:pPr>
        <w:pStyle w:val="3"/>
        <w:jc w:val="center"/>
        <w:rPr>
          <w:rFonts w:hint="eastAsia" w:asciiTheme="minorAscii"/>
          <w:sz w:val="21"/>
          <w:szCs w:val="21"/>
          <w:lang w:val="en-US" w:eastAsia="zh-CN"/>
        </w:rPr>
      </w:pPr>
      <w:r>
        <w:rPr>
          <w:rFonts w:hint="eastAsia" w:asciiTheme="minorAscii"/>
          <w:lang w:val="en-US" w:eastAsia="zh-CN"/>
        </w:rPr>
        <w:t>中国民俗文化-----饮食民俗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Ascii"/>
          <w:color w:val="000000" w:themeColor="text1"/>
          <w:sz w:val="21"/>
          <w:szCs w:val="21"/>
          <w:lang w:val="en-US" w:eastAsia="zh-CN"/>
          <w14:textFill>
            <w14:solidFill>
              <w14:schemeClr w14:val="tx1"/>
            </w14:solidFill>
          </w14:textFill>
        </w:rPr>
      </w:pPr>
      <w:r>
        <w:rPr>
          <w:rFonts w:hint="eastAsia" w:asciiTheme="minorAscii"/>
          <w:color w:val="000000" w:themeColor="text1"/>
          <w:sz w:val="21"/>
          <w:szCs w:val="21"/>
          <w:lang w:val="en-US" w:eastAsia="zh-CN"/>
          <w14:textFill>
            <w14:solidFill>
              <w14:schemeClr w14:val="tx1"/>
            </w14:solidFill>
          </w14:textFill>
        </w:rPr>
        <w:t>“民以食为天”，饮食民俗包括日常饮食民俗和节庆中的饮食民俗，饮食方式也有生食熟食之别。日常饮食又有主食、副食、饮品之分。由于地域差异出现了南北方的饮食差异，造就了中国各具特色的八大菜系鲁、川、粤、闽、苏、浙、湘、徽菜以及东北菜、西南菜、清真菜、朝鲜族菜、蒙古族菜等菜系。菜的口味、烹饪方法、火候、刀工、汤的调制、佐料、食材等又有不同的要求。如鲁菜口味偏重偏，技法擅长爆、扒，用料精广；徽菜则讲究火功、技法擅长烧、焖、炖；而扬州菜则口味清淡、主料突出、刀工精细，展现了不同的地域饮食习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Ascii"/>
          <w:color w:val="000000" w:themeColor="text1"/>
          <w:sz w:val="21"/>
          <w:szCs w:val="21"/>
          <w:lang w:val="en-US" w:eastAsia="zh-CN"/>
          <w14:textFill>
            <w14:solidFill>
              <w14:schemeClr w14:val="tx1"/>
            </w14:solidFill>
          </w14:textFill>
        </w:rPr>
      </w:pPr>
      <w:r>
        <w:rPr>
          <w:rFonts w:hint="eastAsia" w:asciiTheme="minorAscii"/>
          <w:color w:val="000000" w:themeColor="text1"/>
          <w:sz w:val="21"/>
          <w:szCs w:val="21"/>
          <w:lang w:val="en-US" w:eastAsia="zh-CN"/>
          <w14:textFill>
            <w14:solidFill>
              <w14:schemeClr w14:val="tx1"/>
            </w14:solidFill>
          </w14:textFill>
        </w:rPr>
        <w:t>日常饮食民俗具有重养、重礼、重利、重食的特点。注重养生之道、食疗作用，注重饮食礼节“食不言”要守规矩，趋利避祸的功利心态，不同的食材不同的寓意。在中国不同的节日有不同的节日饮食习俗，从节日民俗中体现出强烈的寓意性，中间掺杂了中国民俗信仰，如春节吃饺子寓意逢凶化吉、事事顺利，元宵节吃汤圆则表达了团聚、共享天伦的美好愿望。中国饮食民俗还包括饮酒、饮茶的习俗。各地不同的酒俗都表达出日常行为规范、美好的寓意、等级礼节、后被与前辈的关系等，而茶道更是值得我们去领悟，修身养性、茶中静悟、静心静性。泡茶、饮茶、奉茶等各种礼节、技巧体现的淋漓尽致，应和了饮食民俗中重礼、重养的特点。饮食民俗体现中国人注重修养的特点，讲究搭配、均衡、追求健康的特点。</w:t>
      </w:r>
    </w:p>
    <w:p>
      <w:pPr>
        <w:pStyle w:val="3"/>
        <w:jc w:val="center"/>
        <w:rPr>
          <w:rFonts w:hint="eastAsia" w:asciiTheme="minorAscii"/>
          <w:lang w:val="en-US" w:eastAsia="zh-CN"/>
        </w:rPr>
      </w:pPr>
      <w:r>
        <w:rPr>
          <w:rFonts w:hint="eastAsia" w:asciiTheme="minorAscii"/>
          <w:lang w:val="en-US" w:eastAsia="zh-CN"/>
        </w:rPr>
        <w:t>中国民俗文化-----居住民宿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Ascii"/>
          <w:color w:val="000000" w:themeColor="text1"/>
          <w:sz w:val="21"/>
          <w:szCs w:val="21"/>
          <w:lang w:val="en-US" w:eastAsia="zh-CN"/>
          <w14:textFill>
            <w14:solidFill>
              <w14:schemeClr w14:val="tx1"/>
            </w14:solidFill>
          </w14:textFill>
        </w:rPr>
      </w:pPr>
      <w:r>
        <w:rPr>
          <w:rFonts w:hint="eastAsia" w:asciiTheme="minorAscii"/>
          <w:color w:val="000000" w:themeColor="text1"/>
          <w:sz w:val="21"/>
          <w:szCs w:val="21"/>
          <w:lang w:val="en-US" w:eastAsia="zh-CN"/>
          <w14:textFill>
            <w14:solidFill>
              <w14:schemeClr w14:val="tx1"/>
            </w14:solidFill>
          </w14:textFill>
        </w:rPr>
        <w:t>中国人讲究“安居乐业”，对于居住尤为重视。中国跨纬度大，不同的自然环境和人文环境出现了南北方的居住差异，民居的类型有四合院式、干栏式、碉楼式、帐篷式、窑洞式、船形屋等。中国民居建筑具有实用性、审美性等特点，例如碉楼式建筑围楼圆形、方形外形美观，多层从下往上依次是厨房、储藏室、卧室具有很强的实用性，而且底层大都只开一个门为的是防御，建筑别具一格，不同汉族的民居，民族色彩浓厚。另一方面，民居的建造与搬迁有强烈的情感性，择基、家屋布置都讲究禁忌、风水、选择良辰吉日。如建房要择基、择日，地基要牢固，出水要通畅，后背要有靠山、房屋朝向、建房取单不取双，选择有生气的地方，与玄学相辅相成，建房时要举行隆重的上梁仪式，人文色彩、迷信色彩浓厚。</w:t>
      </w:r>
    </w:p>
    <w:p>
      <w:pPr>
        <w:pStyle w:val="3"/>
        <w:jc w:val="center"/>
        <w:rPr>
          <w:rFonts w:hint="eastAsia" w:asciiTheme="minorAscii"/>
          <w:lang w:val="en-US" w:eastAsia="zh-CN"/>
        </w:rPr>
      </w:pPr>
      <w:r>
        <w:rPr>
          <w:rFonts w:hint="eastAsia" w:asciiTheme="minorAscii"/>
          <w:lang w:val="en-US" w:eastAsia="zh-CN"/>
        </w:rPr>
        <w:t>中国民俗------人生交际礼仪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30" w:firstLineChars="300"/>
        <w:jc w:val="left"/>
        <w:textAlignment w:val="auto"/>
        <w:outlineLvl w:val="9"/>
        <w:rPr>
          <w:rFonts w:hint="eastAsia" w:asciiTheme="minorAscii"/>
          <w:color w:val="000000" w:themeColor="text1"/>
          <w:sz w:val="21"/>
          <w:szCs w:val="21"/>
          <w:lang w:val="en-US" w:eastAsia="zh-CN"/>
          <w14:textFill>
            <w14:solidFill>
              <w14:schemeClr w14:val="tx1"/>
            </w14:solidFill>
          </w14:textFill>
        </w:rPr>
      </w:pPr>
      <w:r>
        <w:rPr>
          <w:rFonts w:hint="eastAsia" w:asciiTheme="minorAscii"/>
          <w:color w:val="000000" w:themeColor="text1"/>
          <w:sz w:val="21"/>
          <w:szCs w:val="21"/>
          <w:lang w:val="en-US" w:eastAsia="zh-CN"/>
          <w14:textFill>
            <w14:solidFill>
              <w14:schemeClr w14:val="tx1"/>
            </w14:solidFill>
          </w14:textFill>
        </w:rPr>
        <w:t>中国素来有礼仪之邦之称，礼仪更是数不胜数。人生礼仪分为出生礼仪、成年礼仪、婚俗礼仪、丧葬礼仪；交际礼仪包括礼貌用语、行为礼仪。这些礼仪具有约束作用，规范人们行为，是一种无形的法律，在种礼仪之下，提高人的素质，促进社会和谐。礼仪又具有传承性，从古至今在保留好的礼仪的基础上，随着社会的发展有注入新的活力，更好的为社会服务。礼仪习俗也具有地域性、民族性，在不同的地域中、不同的民族又存在不同的习俗、禁忌，体现出不同的民族、宗教信仰。例如丧葬方式中国传统观念是“入土为安”，死后要葬回自己的家乡；藏族则认为人死后灵魂升天要天葬，鄂伦春族、赫哲族则认为死者的孤魂游荡在森林里，所以就把死者放在树上或木架上三年后在进行土葬或火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30" w:firstLineChars="300"/>
        <w:jc w:val="left"/>
        <w:textAlignment w:val="auto"/>
        <w:outlineLvl w:val="9"/>
        <w:rPr>
          <w:rFonts w:hint="eastAsia" w:asciiTheme="minorAscii"/>
          <w:color w:val="000000" w:themeColor="text1"/>
          <w:sz w:val="21"/>
          <w:szCs w:val="21"/>
          <w:lang w:val="en-US" w:eastAsia="zh-CN"/>
          <w14:textFill>
            <w14:solidFill>
              <w14:schemeClr w14:val="tx1"/>
            </w14:solidFill>
          </w14:textFill>
        </w:rPr>
      </w:pPr>
      <w:r>
        <w:rPr>
          <w:rFonts w:hint="eastAsia" w:asciiTheme="minorAscii"/>
          <w:color w:val="000000" w:themeColor="text1"/>
          <w:sz w:val="21"/>
          <w:szCs w:val="21"/>
          <w:lang w:val="en-US" w:eastAsia="zh-CN"/>
          <w14:textFill>
            <w14:solidFill>
              <w14:schemeClr w14:val="tx1"/>
            </w14:solidFill>
          </w14:textFill>
        </w:rPr>
        <w:t>论及谈婚论嫁，自古至今就有很多步骤。从古至今纳采、问名、纳吉、纳征、请期、亲迎到后来婚俗演变为迎娶、哭嫁、拜堂、合卺、闹洞房等。随着社会的发展，中外文化的交流与碰撞，中国婚俗也不断学习融合，逐渐变得简单。服饰也偶传统的服饰向婚纱的简单的服饰转变。婚俗的地域性明显，东北的“离娘亲”，上海的“撑伞”与换鞋，朝鲜族婚俗中的“奠燕礼”和“公鸡”，各具特色，分别代表着一方文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30" w:firstLineChars="300"/>
        <w:jc w:val="left"/>
        <w:textAlignment w:val="auto"/>
        <w:outlineLvl w:val="9"/>
        <w:rPr>
          <w:rFonts w:hint="eastAsia" w:asciiTheme="minorAscii"/>
          <w:color w:val="000000" w:themeColor="text1"/>
          <w:sz w:val="21"/>
          <w:szCs w:val="21"/>
          <w:lang w:val="en-US" w:eastAsia="zh-CN"/>
          <w14:textFill>
            <w14:solidFill>
              <w14:schemeClr w14:val="tx1"/>
            </w14:solidFill>
          </w14:textFill>
        </w:rPr>
      </w:pPr>
      <w:r>
        <w:rPr>
          <w:rFonts w:hint="eastAsia" w:asciiTheme="minorAscii"/>
          <w:color w:val="000000" w:themeColor="text1"/>
          <w:sz w:val="21"/>
          <w:szCs w:val="21"/>
          <w:lang w:val="en-US" w:eastAsia="zh-CN"/>
          <w14:textFill>
            <w14:solidFill>
              <w14:schemeClr w14:val="tx1"/>
            </w14:solidFill>
          </w14:textFill>
        </w:rPr>
        <w:t>社会经济的发展一些习俗正在退化甚至消失，在青少年成长过程中的礼节基本上退出了社会发展的舞台，中国古代的成年礼以消失，以前汉族女子的成年礼是笄礼将发辫盘至头顶用簪子插住作为成年标志，同时作为女子许嫁的标志；男子成年礼即加冠礼，汉刘向《说苑修文》中说“冠者，所以别成年人......君子始冠，必祝成礼，加冠以厉其心”，有指定的贵宾给男子加冠，想通过加冠礼来增强其毅力要学会自力更生，应承担更多的责任，加强其责任心。在今天大多数刚成年的人还没有要自力更生的能力，更没有承担责任的责任心，所以更突出了保护这些即将消失文化习俗的重要性。</w:t>
      </w:r>
    </w:p>
    <w:p>
      <w:pPr>
        <w:pStyle w:val="3"/>
        <w:jc w:val="center"/>
        <w:rPr>
          <w:rFonts w:hint="eastAsia" w:asciiTheme="minorAscii"/>
          <w:color w:val="0070C0"/>
          <w:szCs w:val="32"/>
          <w:lang w:val="en-US" w:eastAsia="zh-CN"/>
        </w:rPr>
      </w:pPr>
      <w:r>
        <w:rPr>
          <w:rFonts w:hint="eastAsia" w:asciiTheme="minorAscii"/>
          <w:lang w:val="en-US" w:eastAsia="zh-CN"/>
        </w:rPr>
        <w:t>中国民俗文化------中国民间信仰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Theme="minorAscii"/>
          <w:color w:val="000000" w:themeColor="text1"/>
          <w:sz w:val="21"/>
          <w:szCs w:val="21"/>
          <w:lang w:val="en-US" w:eastAsia="zh-CN"/>
          <w14:textFill>
            <w14:solidFill>
              <w14:schemeClr w14:val="tx1"/>
            </w14:solidFill>
          </w14:textFill>
        </w:rPr>
      </w:pPr>
      <w:r>
        <w:rPr>
          <w:rFonts w:hint="eastAsia" w:asciiTheme="minorAscii"/>
          <w:color w:val="000000" w:themeColor="text1"/>
          <w:sz w:val="28"/>
          <w:szCs w:val="28"/>
          <w:lang w:val="en-US" w:eastAsia="zh-CN"/>
          <w14:textFill>
            <w14:solidFill>
              <w14:schemeClr w14:val="tx1"/>
            </w14:solidFill>
          </w14:textFill>
        </w:rPr>
        <w:t xml:space="preserve">   </w:t>
      </w:r>
      <w:r>
        <w:rPr>
          <w:rFonts w:hint="eastAsia" w:asciiTheme="minorAscii"/>
          <w:color w:val="000000" w:themeColor="text1"/>
          <w:sz w:val="21"/>
          <w:szCs w:val="21"/>
          <w:lang w:val="en-US" w:eastAsia="zh-CN"/>
          <w14:textFill>
            <w14:solidFill>
              <w14:schemeClr w14:val="tx1"/>
            </w14:solidFill>
          </w14:textFill>
        </w:rPr>
        <w:t>中国民间信仰以诸神为主，民间诸神与宗教相结合，有佛教神、有道教神，但这些神有相互融合、相互渗透都扮演着实人愿的角色。在中国民间诸神有掺杂着一定的迷信色彩，把人的生老病死寄希望于神，片面夸大神的作用，驱除妖魔鬼怪等现实中不存在的东西，而统治者也通过神的作用宣扬自己的地位自称君权神授、天人感应，以此加强对社会的统治，所以出现了全社会对神的崇拜，对神的信奉又体现出严格的等级。在中国古代上层的人丰衣足食他们通过神表达他们对政治、地位的诉求，追求享乐、长生不老、强调天人感应，表现出他们无尽的贪婪；而生活在社会底层的人则由于冷酷的现实，通过神表达出他们对美好生活的向往。中国民间诸神都是正能量的代表，人们对神的敬仰表达他们对美好人格品质的追求，高尚的道德精神，除暴安良、正直勇敢，他们认为神就是完美人格的代表、是正义的化身，神间兼具了世间最美好的品质。神崇拜在一定程度上起到了维护社会稳定的作用，使人向上向善。民间信仰还包括民间禁忌和民间消灾。节日、数字、婚姻、丧葬、行业等诸多方面的禁忌，都表达平安顺利的追求，讲求吉利；民间消灾主要通过念咒、画符、下神、镇邪等带有宗教、迷信的色彩，部分地区消灾方式表达出他们的图腾崇拜。这些民间禁忌、消灾方式等都表达人们对幸福生活的追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Ascii"/>
          <w:color w:val="000000" w:themeColor="text1"/>
          <w:sz w:val="21"/>
          <w:szCs w:val="21"/>
          <w:lang w:val="en-US" w:eastAsia="zh-CN"/>
          <w14:textFill>
            <w14:solidFill>
              <w14:schemeClr w14:val="tx1"/>
            </w14:solidFill>
          </w14:textFill>
        </w:rPr>
      </w:pPr>
      <w:r>
        <w:rPr>
          <w:rFonts w:hint="eastAsia" w:asciiTheme="minorAscii"/>
          <w:color w:val="000000" w:themeColor="text1"/>
          <w:sz w:val="21"/>
          <w:szCs w:val="21"/>
          <w:lang w:val="en-US" w:eastAsia="zh-CN"/>
          <w14:textFill>
            <w14:solidFill>
              <w14:schemeClr w14:val="tx1"/>
            </w14:solidFill>
          </w14:textFill>
        </w:rPr>
        <w:t xml:space="preserve">    本书主要让我们了解中国民俗文化，而这些民俗带有宗教、信仰、政治、经济、人际交往等各个方面，主要通过举例子的形式，让我们去了解这些习俗，但是在高速发展的今天，一些习俗的逐渐消亡，更值得我们深思的是如何去保护这些文化习俗。</w:t>
      </w:r>
    </w:p>
    <w:p>
      <w:pPr>
        <w:jc w:val="left"/>
        <w:rPr>
          <w:rFonts w:hint="eastAsia" w:asciiTheme="minorAscii"/>
          <w:color w:val="000000" w:themeColor="text1"/>
          <w:sz w:val="21"/>
          <w:szCs w:val="21"/>
          <w:lang w:val="en-US" w:eastAsia="zh-CN"/>
          <w14:textFill>
            <w14:solidFill>
              <w14:schemeClr w14:val="tx1"/>
            </w14:solidFill>
          </w14:textFill>
        </w:rPr>
      </w:pPr>
      <w:r>
        <w:rPr>
          <w:rFonts w:hint="eastAsia" w:asciiTheme="minorAscii"/>
          <w:color w:val="000000" w:themeColor="text1"/>
          <w:sz w:val="21"/>
          <w:szCs w:val="21"/>
          <w:lang w:val="en-US" w:eastAsia="zh-CN"/>
          <w14:textFill>
            <w14:solidFill>
              <w14:schemeClr w14:val="tx1"/>
            </w14:solidFill>
          </w14:textFill>
        </w:rPr>
        <w:t xml:space="preserve">    </w:t>
      </w:r>
    </w:p>
    <w:p>
      <w:pPr>
        <w:pStyle w:val="3"/>
        <w:rPr>
          <w:rFonts w:hint="eastAsia"/>
          <w:lang w:val="en-US" w:eastAsia="zh-CN"/>
        </w:rPr>
      </w:pPr>
      <w:r>
        <w:rPr>
          <w:rFonts w:hint="eastAsia"/>
          <w:lang w:val="en-US" w:eastAsia="zh-CN"/>
        </w:rPr>
        <w:t>泰山学院历史与社会发展学院假期读书报告考核表</w:t>
      </w:r>
    </w:p>
    <w:tbl>
      <w:tblPr>
        <w:tblStyle w:val="7"/>
        <w:tblpPr w:leftFromText="180" w:rightFromText="180" w:vertAnchor="text" w:horzAnchor="page" w:tblpX="1417" w:tblpY="596"/>
        <w:tblOverlap w:val="never"/>
        <w:tblW w:w="9460"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414"/>
        <w:gridCol w:w="1414"/>
        <w:gridCol w:w="1414"/>
        <w:gridCol w:w="1414"/>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883" w:type="dxa"/>
          </w:tcPr>
          <w:p>
            <w:pPr>
              <w:jc w:val="left"/>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学生姓名</w:t>
            </w:r>
          </w:p>
        </w:tc>
        <w:tc>
          <w:tcPr>
            <w:tcW w:w="1414" w:type="dxa"/>
          </w:tcPr>
          <w:p>
            <w:pPr>
              <w:jc w:val="left"/>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王惠</w:t>
            </w:r>
          </w:p>
        </w:tc>
        <w:tc>
          <w:tcPr>
            <w:tcW w:w="1414" w:type="dxa"/>
          </w:tcPr>
          <w:p>
            <w:pPr>
              <w:jc w:val="left"/>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班级</w:t>
            </w:r>
          </w:p>
        </w:tc>
        <w:tc>
          <w:tcPr>
            <w:tcW w:w="1414" w:type="dxa"/>
          </w:tcPr>
          <w:p>
            <w:pPr>
              <w:jc w:val="left"/>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文物与博物馆学班</w:t>
            </w:r>
          </w:p>
        </w:tc>
        <w:tc>
          <w:tcPr>
            <w:tcW w:w="1414" w:type="dxa"/>
          </w:tcPr>
          <w:p>
            <w:pPr>
              <w:jc w:val="left"/>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学号</w:t>
            </w:r>
          </w:p>
        </w:tc>
        <w:tc>
          <w:tcPr>
            <w:tcW w:w="1921" w:type="dxa"/>
          </w:tcPr>
          <w:p>
            <w:pPr>
              <w:jc w:val="left"/>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2016033014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3297" w:type="dxa"/>
            <w:gridSpan w:val="2"/>
          </w:tcPr>
          <w:p>
            <w:pPr>
              <w:jc w:val="left"/>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（所读）书名</w:t>
            </w:r>
          </w:p>
        </w:tc>
        <w:tc>
          <w:tcPr>
            <w:tcW w:w="1414" w:type="dxa"/>
          </w:tcPr>
          <w:p>
            <w:pPr>
              <w:jc w:val="center"/>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作者</w:t>
            </w:r>
          </w:p>
        </w:tc>
        <w:tc>
          <w:tcPr>
            <w:tcW w:w="2828" w:type="dxa"/>
            <w:gridSpan w:val="2"/>
          </w:tcPr>
          <w:p>
            <w:pPr>
              <w:jc w:val="center"/>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出版社</w:t>
            </w:r>
          </w:p>
        </w:tc>
        <w:tc>
          <w:tcPr>
            <w:tcW w:w="1921" w:type="dxa"/>
          </w:tcPr>
          <w:p>
            <w:pPr>
              <w:jc w:val="left"/>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3297" w:type="dxa"/>
            <w:gridSpan w:val="2"/>
          </w:tcPr>
          <w:p>
            <w:pPr>
              <w:jc w:val="left"/>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《中国民俗文化》</w:t>
            </w:r>
          </w:p>
        </w:tc>
        <w:tc>
          <w:tcPr>
            <w:tcW w:w="1414" w:type="dxa"/>
          </w:tcPr>
          <w:p>
            <w:pPr>
              <w:jc w:val="center"/>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柯玲</w:t>
            </w:r>
          </w:p>
        </w:tc>
        <w:tc>
          <w:tcPr>
            <w:tcW w:w="2828" w:type="dxa"/>
            <w:gridSpan w:val="2"/>
          </w:tcPr>
          <w:p>
            <w:pPr>
              <w:jc w:val="center"/>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北京大学出版社</w:t>
            </w:r>
          </w:p>
        </w:tc>
        <w:tc>
          <w:tcPr>
            <w:tcW w:w="1921" w:type="dxa"/>
          </w:tcPr>
          <w:p>
            <w:pPr>
              <w:jc w:val="left"/>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2011年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8" w:hRule="atLeast"/>
        </w:trPr>
        <w:tc>
          <w:tcPr>
            <w:tcW w:w="1883" w:type="dxa"/>
          </w:tcPr>
          <w:p>
            <w:pPr>
              <w:jc w:val="left"/>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读书报告的主要内容及创新</w:t>
            </w:r>
          </w:p>
        </w:tc>
        <w:tc>
          <w:tcPr>
            <w:tcW w:w="7577" w:type="dxa"/>
            <w:gridSpan w:val="5"/>
          </w:tcPr>
          <w:p>
            <w:pPr>
              <w:jc w:val="left"/>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 xml:space="preserve">  书中首先介绍了民俗文化在世界范围内的定义，从而引出中国民俗文化，以总分的形式，分为十四个章节介绍，从衣、食、住、行、社会组织、民间信仰、娱乐、民间艺术等九个方面系统介绍中国民俗文化，通过列举实例形象生动易于理解，通过追其根源、对比等方式向我们表达博大精深、源远流长的中国民俗文化。全书通俗易懂，适合作为初步了解中国民俗文化的入门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trPr>
        <w:tc>
          <w:tcPr>
            <w:tcW w:w="1883" w:type="dxa"/>
          </w:tcPr>
          <w:p>
            <w:pPr>
              <w:jc w:val="left"/>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指导教师评语及成绩</w:t>
            </w:r>
          </w:p>
        </w:tc>
        <w:tc>
          <w:tcPr>
            <w:tcW w:w="7577" w:type="dxa"/>
            <w:gridSpan w:val="5"/>
          </w:tcPr>
          <w:p>
            <w:pPr>
              <w:jc w:val="left"/>
              <w:rPr>
                <w:rFonts w:hint="eastAsia"/>
                <w:color w:val="000000" w:themeColor="text1"/>
                <w:sz w:val="28"/>
                <w:szCs w:val="28"/>
                <w:vertAlign w:val="baseline"/>
                <w:lang w:val="en-US" w:eastAsia="zh-CN"/>
                <w14:textFill>
                  <w14:solidFill>
                    <w14:schemeClr w14:val="tx1"/>
                  </w14:solidFill>
                </w14:textFill>
              </w:rPr>
            </w:pPr>
          </w:p>
          <w:p>
            <w:pPr>
              <w:rPr>
                <w:rFonts w:hint="eastAsia"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p>
          <w:p>
            <w:pPr>
              <w:rPr>
                <w:rFonts w:hint="eastAsia"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p>
          <w:p>
            <w:pPr>
              <w:rPr>
                <w:rFonts w:hint="eastAsia"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p>
          <w:p>
            <w:pPr>
              <w:ind w:firstLine="313" w:firstLineChars="0"/>
              <w:jc w:val="left"/>
              <w:rPr>
                <w:rFonts w:hint="eastAsia" w:cstheme="minorBidi"/>
                <w:color w:val="000000" w:themeColor="text1"/>
                <w:kern w:val="2"/>
                <w:sz w:val="28"/>
                <w:szCs w:val="28"/>
                <w:vertAlign w:val="baseline"/>
                <w:lang w:val="en-US" w:eastAsia="zh-CN" w:bidi="ar-SA"/>
                <w14:textFill>
                  <w14:solidFill>
                    <w14:schemeClr w14:val="tx1"/>
                  </w14:solidFill>
                </w14:textFill>
              </w:rPr>
            </w:pPr>
            <w:r>
              <w:rPr>
                <w:rFonts w:hint="eastAsia" w:cstheme="minorBidi"/>
                <w:color w:val="000000" w:themeColor="text1"/>
                <w:kern w:val="2"/>
                <w:sz w:val="28"/>
                <w:szCs w:val="28"/>
                <w:vertAlign w:val="baseline"/>
                <w:lang w:val="en-US" w:eastAsia="zh-CN" w:bidi="ar-SA"/>
                <w14:textFill>
                  <w14:solidFill>
                    <w14:schemeClr w14:val="tx1"/>
                  </w14:solidFill>
                </w14:textFill>
              </w:rPr>
              <w:t>成绩                     指导教师（签字）</w:t>
            </w:r>
          </w:p>
          <w:p>
            <w:pPr>
              <w:ind w:firstLine="313" w:firstLineChars="0"/>
              <w:jc w:val="left"/>
              <w:rPr>
                <w:rFonts w:hint="eastAsia"/>
                <w:lang w:val="en-US" w:eastAsia="zh-CN"/>
              </w:rPr>
            </w:pPr>
            <w:r>
              <w:rPr>
                <w:rFonts w:hint="eastAsia" w:cstheme="minorBidi"/>
                <w:color w:val="000000" w:themeColor="text1"/>
                <w:kern w:val="2"/>
                <w:sz w:val="28"/>
                <w:szCs w:val="28"/>
                <w:vertAlign w:val="baseline"/>
                <w:lang w:val="en-US" w:eastAsia="zh-CN" w:bidi="ar-SA"/>
                <w14:textFill>
                  <w14:solidFill>
                    <w14:schemeClr w14:val="tx1"/>
                  </w14:solidFill>
                </w14:textFill>
              </w:rPr>
              <w:t xml:space="preserve">                                   年   月   日</w:t>
            </w:r>
            <w:r>
              <w:rPr>
                <w:rFonts w:hint="eastAsia" w:cstheme="minorBidi"/>
                <w:color w:val="000000" w:themeColor="text1"/>
                <w:kern w:val="2"/>
                <w:sz w:val="28"/>
                <w:szCs w:val="28"/>
                <w:vertAlign w:val="baseline"/>
                <w:lang w:val="en-US" w:eastAsia="zh-CN" w:bidi="ar-SA"/>
                <w14:textFill>
                  <w14:solidFill>
                    <w14:schemeClr w14:val="tx1"/>
                  </w14:solidFill>
                </w14:textFill>
              </w:rPr>
              <w:br w:type="textWrapping"/>
            </w:r>
            <w:r>
              <w:rPr>
                <w:rFonts w:hint="eastAsia" w:cstheme="minorBidi"/>
                <w:color w:val="000000" w:themeColor="text1"/>
                <w:kern w:val="2"/>
                <w:sz w:val="28"/>
                <w:szCs w:val="28"/>
                <w:vertAlign w:val="baseline"/>
                <w:lang w:val="en-US" w:eastAsia="zh-CN" w:bidi="ar-SA"/>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1883" w:type="dxa"/>
          </w:tcPr>
          <w:p>
            <w:pPr>
              <w:jc w:val="left"/>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学院复核意见</w:t>
            </w:r>
          </w:p>
        </w:tc>
        <w:tc>
          <w:tcPr>
            <w:tcW w:w="7577" w:type="dxa"/>
            <w:gridSpan w:val="5"/>
          </w:tcPr>
          <w:p>
            <w:pPr>
              <w:jc w:val="left"/>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 xml:space="preserve">                    泰山学院历史与社会发展学院（章）</w:t>
            </w:r>
          </w:p>
          <w:p>
            <w:pPr>
              <w:jc w:val="left"/>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 xml:space="preserve">                               年    月    日                                                 </w:t>
            </w:r>
          </w:p>
        </w:tc>
      </w:tr>
    </w:tbl>
    <w:p>
      <w:pPr>
        <w:jc w:val="left"/>
        <w:rPr>
          <w:rFonts w:hint="eastAsia"/>
          <w:color w:val="000000" w:themeColor="text1"/>
          <w:sz w:val="28"/>
          <w:szCs w:val="28"/>
          <w:lang w:val="en-US" w:eastAsia="zh-CN"/>
          <w14:textFill>
            <w14:solidFill>
              <w14:schemeClr w14:val="tx1"/>
            </w14:solidFill>
          </w14:textFill>
        </w:rPr>
      </w:pPr>
    </w:p>
    <w:p>
      <w:pPr>
        <w:jc w:val="left"/>
        <w:rPr>
          <w:rFonts w:hint="eastAsia"/>
          <w:color w:val="000000" w:themeColor="text1"/>
          <w:sz w:val="36"/>
          <w:szCs w:val="36"/>
          <w:lang w:val="en-US" w:eastAsia="zh-CN"/>
          <w14:textFill>
            <w14:solidFill>
              <w14:schemeClr w14:val="tx1"/>
            </w14:solidFill>
          </w14:textFill>
        </w:rPr>
      </w:pPr>
    </w:p>
    <w:p>
      <w:pPr>
        <w:jc w:val="center"/>
        <w:rPr>
          <w:rFonts w:hint="eastAsia"/>
          <w:color w:val="000000" w:themeColor="text1"/>
          <w:sz w:val="36"/>
          <w:szCs w:val="36"/>
          <w:lang w:val="en-US" w:eastAsia="zh-CN"/>
          <w14:textFill>
            <w14:solidFill>
              <w14:schemeClr w14:val="tx1"/>
            </w14:solidFill>
          </w14:textFill>
        </w:rPr>
      </w:pPr>
    </w:p>
    <w:p>
      <w:pPr>
        <w:jc w:val="center"/>
        <w:rPr>
          <w:rFonts w:hint="eastAsia"/>
          <w:color w:val="000000" w:themeColor="text1"/>
          <w:sz w:val="36"/>
          <w:szCs w:val="36"/>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52AA4"/>
    <w:rsid w:val="03090998"/>
    <w:rsid w:val="0CA0066F"/>
    <w:rsid w:val="122F3F7F"/>
    <w:rsid w:val="14C35979"/>
    <w:rsid w:val="204D6A07"/>
    <w:rsid w:val="20E75BB4"/>
    <w:rsid w:val="224B2EDF"/>
    <w:rsid w:val="261D1DC7"/>
    <w:rsid w:val="2DBF542A"/>
    <w:rsid w:val="33752AD5"/>
    <w:rsid w:val="426B7A21"/>
    <w:rsid w:val="460B1908"/>
    <w:rsid w:val="4CF52D14"/>
    <w:rsid w:val="4E5849A5"/>
    <w:rsid w:val="50A7688B"/>
    <w:rsid w:val="625C4625"/>
    <w:rsid w:val="66B720A2"/>
    <w:rsid w:val="67952AA4"/>
    <w:rsid w:val="6B2A2988"/>
    <w:rsid w:val="6C6C50FB"/>
    <w:rsid w:val="78051428"/>
    <w:rsid w:val="78671BA3"/>
    <w:rsid w:val="7AB70A5D"/>
    <w:rsid w:val="7AFF6F75"/>
    <w:rsid w:val="7FCE15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2017-02-20T07:49:00Z</dcterms:created>
  <dc:creator>asus</dc:creator>
  <cp:lastModifiedBy>asus</cp:lastModifiedBy>
  <dcterms:modified xsi:type="dcterms:W3CDTF">2017-04-13T04:28:38Z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